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Patrick EONO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20" w:firstLine="720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firstLine="72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Mob. 06 45 87 75 89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ff6600"/>
            <w:u w:val="single"/>
            <w:vertAlign w:val="baseline"/>
            <w:rtl w:val="0"/>
          </w:rPr>
          <w:t xml:space="preserve">eono.patrick@oran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1"/>
            <w:color w:val="ff6600"/>
            <w:u w:val="single"/>
            <w:rtl w:val="0"/>
          </w:rPr>
          <w:t xml:space="preserve">ge.</w:t>
        </w:r>
      </w:hyperlink>
      <w:r w:rsidDel="00000000" w:rsidR="00000000" w:rsidRPr="00000000">
        <w:rPr>
          <w:rFonts w:ascii="Arial" w:cs="Arial" w:eastAsia="Arial" w:hAnsi="Arial"/>
          <w:b w:val="1"/>
          <w:color w:val="ff6600"/>
          <w:u w:val="single"/>
          <w:rtl w:val="0"/>
        </w:rPr>
        <w:t xml:space="preserve">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COMPÉTENCES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</w:t>
        <w:tab/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Trésorerie, comptabilité, finances, budget, recouvrement, chef de projets SI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tabs>
          <w:tab w:val="left" w:leader="none" w:pos="1701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Ouvert, ordonné, esprit d’organisation et d’analyse et capacité de synthèse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  <w:tab/>
      </w:r>
    </w:p>
    <w:p w:rsidR="00000000" w:rsidDel="00000000" w:rsidP="00000000" w:rsidRDefault="00000000" w:rsidRPr="00000000" w14:paraId="00000008">
      <w:pPr>
        <w:tabs>
          <w:tab w:val="left" w:leader="none" w:pos="1701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Autonome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et sachant travailler en équipe (projet) dans un environnement International.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1701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Anglais professionnel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oral et écrit. /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Mobilité internationale</w:t>
      </w:r>
      <w:r w:rsidDel="00000000" w:rsidR="00000000" w:rsidRPr="00000000">
        <w:rPr>
          <w:sz w:val="24"/>
          <w:szCs w:val="24"/>
          <w:rtl w:val="0"/>
        </w:rPr>
        <w:t xml:space="preserve"> /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Bénévolat, associatif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leader="none" w:pos="1701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EXPÉRIENCES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Surveillant des examens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b w:val="1"/>
          <w:sz w:val="24"/>
          <w:szCs w:val="24"/>
          <w:rtl w:val="0"/>
        </w:rPr>
        <w:t xml:space="preserve"> Paris Sorbonnes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Responsable transport JO 2024 </w:t>
      </w:r>
      <w:r w:rsidDel="00000000" w:rsidR="00000000" w:rsidRPr="00000000">
        <w:rPr>
          <w:sz w:val="24"/>
          <w:szCs w:val="24"/>
          <w:rtl w:val="0"/>
        </w:rPr>
        <w:t xml:space="preserve">sur le site des Invalides 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Bénévolat : Rugby World Cup 2023 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Officier de Liaison France (Camp de Base équipe de France)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Associatif ; Trésorier du Comité Départemental de Rugby de Seine Saint Denis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France Télécom – Orange de 2007 au 01/07/2023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80" w:firstLine="0"/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Chef de projets B 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Déploiement de l’auxiliaire AR à Orange Réunion</w:t>
      </w:r>
      <w:r w:rsidDel="00000000" w:rsidR="00000000" w:rsidRPr="00000000">
        <w:rPr>
          <w:sz w:val="24"/>
          <w:szCs w:val="24"/>
          <w:rtl w:val="0"/>
        </w:rPr>
        <w:t xml:space="preserve"> et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formation du p</w:t>
      </w:r>
      <w:r w:rsidDel="00000000" w:rsidR="00000000" w:rsidRPr="00000000">
        <w:rPr>
          <w:sz w:val="24"/>
          <w:szCs w:val="24"/>
          <w:rtl w:val="0"/>
        </w:rPr>
        <w:t xml:space="preserve">ersonnel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sur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Gestion de projet </w:t>
      </w:r>
      <w:r w:rsidDel="00000000" w:rsidR="00000000" w:rsidRPr="00000000">
        <w:rPr>
          <w:sz w:val="24"/>
          <w:szCs w:val="24"/>
          <w:rtl w:val="0"/>
        </w:rPr>
        <w:t xml:space="preserve">avec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MOA ATOS, tests</w:t>
      </w:r>
      <w:r w:rsidDel="00000000" w:rsidR="00000000" w:rsidRPr="00000000">
        <w:rPr>
          <w:sz w:val="24"/>
          <w:szCs w:val="24"/>
          <w:rtl w:val="0"/>
        </w:rPr>
        <w:t xml:space="preserve"> et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migration.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Modalités et procédures de reprise des données / Architecture fonctionnelle </w:t>
      </w:r>
    </w:p>
    <w:p w:rsidR="00000000" w:rsidDel="00000000" w:rsidP="00000000" w:rsidRDefault="00000000" w:rsidRPr="00000000" w14:paraId="00000018">
      <w:pPr>
        <w:ind w:left="144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Organisateur et formateur du GL (90 personnes sur les sites de Lille, Noisy le </w:t>
      </w:r>
      <w:r w:rsidDel="00000000" w:rsidR="00000000" w:rsidRPr="00000000">
        <w:rPr>
          <w:sz w:val="24"/>
          <w:szCs w:val="24"/>
          <w:rtl w:val="0"/>
        </w:rPr>
        <w:t xml:space="preserve">Grand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Arcueil).</w:t>
      </w:r>
    </w:p>
    <w:p w:rsidR="00000000" w:rsidDel="00000000" w:rsidP="00000000" w:rsidRDefault="00000000" w:rsidRPr="00000000" w14:paraId="00000019">
      <w:pPr>
        <w:ind w:left="1701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72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Société Internationale Télécommunication Aérienne 01/06/1993 –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72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ind w:left="720" w:firstLine="72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Chargé de compte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 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France Télécom, Transpac.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72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Analyse des coûts et des revenus des circuits nationaux et internationaux.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Mise en place de l’importation et du traitement des données informatiques </w:t>
      </w:r>
    </w:p>
    <w:p w:rsidR="00000000" w:rsidDel="00000000" w:rsidP="00000000" w:rsidRDefault="00000000" w:rsidRPr="00000000" w14:paraId="0000001F">
      <w:pPr>
        <w:ind w:left="720" w:firstLine="72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0">
      <w:pPr>
        <w:ind w:left="720" w:firstLine="720"/>
        <w:jc w:val="both"/>
        <w:rPr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vertAlign w:val="baseline"/>
          <w:rtl w:val="0"/>
        </w:rPr>
        <w:t xml:space="preserve">Responsable du recouvrement de la facturation clients</w:t>
      </w:r>
      <w:r w:rsidDel="00000000" w:rsidR="00000000" w:rsidRPr="00000000">
        <w:rPr>
          <w:vertAlign w:val="baseline"/>
          <w:rtl w:val="0"/>
        </w:rPr>
        <w:tab/>
        <w:tab/>
        <w:t xml:space="preserve">   </w:t>
      </w:r>
    </w:p>
    <w:p w:rsidR="00000000" w:rsidDel="00000000" w:rsidP="00000000" w:rsidRDefault="00000000" w:rsidRPr="00000000" w14:paraId="00000021">
      <w:pPr>
        <w:ind w:left="720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ind w:left="72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720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Responsable au Head office des grands comptes fournisseurs étrangers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72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720"/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Assistant au département Trésorerie Mondiale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720" w:firstLine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72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Euromissile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Assistant Financier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1989 - 1993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701"/>
        </w:tabs>
        <w:ind w:left="72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701"/>
        </w:tabs>
        <w:ind w:left="720" w:firstLine="72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(Groupement d’intérêt économique d’aérospatial et Messerschmitt)</w:t>
      </w:r>
    </w:p>
    <w:p w:rsidR="00000000" w:rsidDel="00000000" w:rsidP="00000000" w:rsidRDefault="00000000" w:rsidRPr="00000000" w14:paraId="0000002A">
      <w:pPr>
        <w:tabs>
          <w:tab w:val="left" w:leader="none" w:pos="1701"/>
        </w:tabs>
        <w:ind w:left="720" w:firstLine="72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41" w:lineRule="auto"/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Formations 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éthode agile -  Communiquer avec tact et souplesse (Institut supérieur du marketing)</w:t>
      </w:r>
    </w:p>
    <w:p w:rsidR="00000000" w:rsidDel="00000000" w:rsidP="00000000" w:rsidRDefault="00000000" w:rsidRPr="00000000" w14:paraId="0000002C">
      <w:pPr>
        <w:spacing w:before="141" w:lineRule="auto"/>
        <w:ind w:left="144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Prise de note et compte-rendu - Les clés de l'animation en présentiel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41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 xml:space="preserve">     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Anglais professionnel (IFG Langues)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41" w:lineRule="auto"/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Diplôme 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D.U.T GEA, option finance et comptabilité (Paris XIII) / Baccalauréat G2.</w:t>
        <w:tab/>
      </w:r>
    </w:p>
    <w:p w:rsidR="00000000" w:rsidDel="00000000" w:rsidP="00000000" w:rsidRDefault="00000000" w:rsidRPr="00000000" w14:paraId="0000002F">
      <w:pPr>
        <w:tabs>
          <w:tab w:val="left" w:leader="none" w:pos="1701"/>
        </w:tabs>
        <w:ind w:left="720" w:firstLine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Divers :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Nationalité : Française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31">
      <w:pPr>
        <w:tabs>
          <w:tab w:val="left" w:leader="none" w:pos="1701"/>
        </w:tabs>
        <w:ind w:left="72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Langues : Anglais professionnel, Allemand.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701"/>
        </w:tabs>
        <w:ind w:left="1701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Connaissances informatiques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: Access, Excel, Word, Oracle Fusion AR IEX OM GL </w:t>
      </w:r>
    </w:p>
    <w:p w:rsidR="00000000" w:rsidDel="00000000" w:rsidP="00000000" w:rsidRDefault="00000000" w:rsidRPr="00000000" w14:paraId="00000033">
      <w:pPr>
        <w:tabs>
          <w:tab w:val="left" w:leader="none" w:pos="1701"/>
        </w:tabs>
        <w:ind w:left="1701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Séjour à l’étranger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 Asie, États-Unis, Australie, Amérique du Sud, Afrique, Europe </w:t>
      </w:r>
    </w:p>
    <w:p w:rsidR="00000000" w:rsidDel="00000000" w:rsidP="00000000" w:rsidRDefault="00000000" w:rsidRPr="00000000" w14:paraId="00000034">
      <w:pPr>
        <w:tabs>
          <w:tab w:val="left" w:leader="none" w:pos="1701"/>
        </w:tabs>
        <w:ind w:left="1701"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Sport : Rugby </w:t>
      </w:r>
    </w:p>
    <w:p w:rsidR="00000000" w:rsidDel="00000000" w:rsidP="00000000" w:rsidRDefault="00000000" w:rsidRPr="00000000" w14:paraId="00000035">
      <w:pPr>
        <w:tabs>
          <w:tab w:val="left" w:leader="none" w:pos="1701"/>
        </w:tabs>
        <w:ind w:left="1701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Permis de conduire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701"/>
        </w:tabs>
        <w:ind w:left="1701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Adresse 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5 rue Paul Vaillant Couturier 93130 Noisy le Sec</w:t>
      </w:r>
    </w:p>
    <w:sectPr>
      <w:footerReference r:id="rId9" w:type="default"/>
      <w:footerReference r:id="rId10" w:type="even"/>
      <w:pgSz w:h="16838" w:w="11905" w:orient="portrait"/>
      <w:pgMar w:bottom="284" w:top="426" w:left="851" w:right="565" w:header="626" w:footer="6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10477500</wp:posOffset>
              </wp:positionV>
              <wp:extent cx="7578725" cy="64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757458"/>
                        <a:ext cx="755967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10477500</wp:posOffset>
              </wp:positionV>
              <wp:extent cx="7578725" cy="641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8725" cy="64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10477500</wp:posOffset>
              </wp:positionV>
              <wp:extent cx="7578725" cy="647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757140"/>
                        <a:ext cx="7559675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10477500</wp:posOffset>
              </wp:positionV>
              <wp:extent cx="7578725" cy="6477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8725" cy="64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20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tabs>
        <w:tab w:val="left" w:leader="none" w:pos="1701"/>
      </w:tabs>
      <w:suppressAutoHyphens w:val="1"/>
      <w:spacing w:line="1" w:lineRule="atLeast"/>
      <w:ind w:left="720" w:leftChars="-1" w:rightChars="0" w:firstLine="720" w:firstLineChars="-1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re1Car">
    <w:name w:val="Titre 1 Car"/>
    <w:next w:val="Titre1C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tabs>
        <w:tab w:val="left" w:leader="none" w:pos="1701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character" w:styleId="CorpsdetexteCar">
    <w:name w:val="Corps de texte Car"/>
    <w:next w:val="Corpsdetexte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suppressAutoHyphens w:val="1"/>
      <w:spacing w:before="141" w:line="200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RetraitcorpsdetexteCar">
    <w:name w:val="Retrait corps de texte Car"/>
    <w:next w:val="Retraitcorpsdetexte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En-têteCar">
    <w:name w:val="En-tête Car"/>
    <w:basedOn w:val="Policepardéfaut"/>
    <w:next w:val="En-tê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PieddepageCar">
    <w:name w:val="Pied de page Car"/>
    <w:basedOn w:val="Policepardéfaut"/>
    <w:next w:val="Pieddepag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trick.eono@orange.com" TargetMode="External"/><Relationship Id="rId8" Type="http://schemas.openxmlformats.org/officeDocument/2006/relationships/hyperlink" Target="mailto:patrick.eono@orange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rpOUPuc25G+GITr8TPKQMlbQw==">CgMxLjA4AHIhMXp2QzlVUllXcjYxRWtGY01NNVJnczF0aTlDYTdLVERs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2014-03-10T07:56:00Z</dcterms:created>
  <dc:creator>Danielle BOURGEOIS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1873032283</vt:i4>
  </property>
  <property fmtid="{D5CDD505-2E9C-101B-9397-08002B2CF9AE}" pid="4" name="_NewReviewCycle">
    <vt:lpstr/>
  </property>
  <property fmtid="{D5CDD505-2E9C-101B-9397-08002B2CF9AE}" pid="5" name="_EmailSubject">
    <vt:lpstr>Responsable d'équipe litiges Ref : 97113</vt:lpstr>
  </property>
  <property fmtid="{D5CDD505-2E9C-101B-9397-08002B2CF9AE}" pid="6" name="_AuthorEmail">
    <vt:lpstr>patrick.eono@orange-ft.com</vt:lpstr>
  </property>
  <property fmtid="{D5CDD505-2E9C-101B-9397-08002B2CF9AE}" pid="7" name="_AuthorEmailDisplayName">
    <vt:lpstr>EONO Patrick DF/DCGC</vt:lpstr>
  </property>
  <property fmtid="{D5CDD505-2E9C-101B-9397-08002B2CF9AE}" pid="8" name="_ReviewingToolsShownOnce">
    <vt:lpstr/>
  </property>
  <property fmtid="{D5CDD505-2E9C-101B-9397-08002B2CF9AE}" pid="9" name="_PreviousAdHocReviewCycleID">
    <vt:i4>1873032283</vt:i4>
  </property>
  <property fmtid="{D5CDD505-2E9C-101B-9397-08002B2CF9AE}" pid="10" name="MSIP_Label_e6c818a6-e1a0-4a6e-a969-20d857c5dc62_Enabled">
    <vt:lpstr>true</vt:lpstr>
  </property>
  <property fmtid="{D5CDD505-2E9C-101B-9397-08002B2CF9AE}" pid="11" name="MSIP_Label_e6c818a6-e1a0-4a6e-a969-20d857c5dc62_SetDate">
    <vt:lpstr>2022-12-23T13:48:15Z</vt:lpstr>
  </property>
  <property fmtid="{D5CDD505-2E9C-101B-9397-08002B2CF9AE}" pid="12" name="MSIP_Label_e6c818a6-e1a0-4a6e-a969-20d857c5dc62_Method">
    <vt:lpstr>Standard</vt:lpstr>
  </property>
  <property fmtid="{D5CDD505-2E9C-101B-9397-08002B2CF9AE}" pid="13" name="MSIP_Label_e6c818a6-e1a0-4a6e-a969-20d857c5dc62_Name">
    <vt:lpstr>Orange_restricted_internal.2</vt:lpstr>
  </property>
  <property fmtid="{D5CDD505-2E9C-101B-9397-08002B2CF9AE}" pid="14" name="MSIP_Label_e6c818a6-e1a0-4a6e-a969-20d857c5dc62_SiteId">
    <vt:lpstr>90c7a20a-f34b-40bf-bc48-b9253b6f5d20</vt:lpstr>
  </property>
  <property fmtid="{D5CDD505-2E9C-101B-9397-08002B2CF9AE}" pid="15" name="MSIP_Label_e6c818a6-e1a0-4a6e-a969-20d857c5dc62_ActionId">
    <vt:lpstr>6f5b8947-e23f-471f-978b-3b4534bae0de</vt:lpstr>
  </property>
  <property fmtid="{D5CDD505-2E9C-101B-9397-08002B2CF9AE}" pid="16" name="MSIP_Label_e6c818a6-e1a0-4a6e-a969-20d857c5dc62_ContentBits">
    <vt:lpstr>2</vt:lpstr>
  </property>
</Properties>
</file>