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A547" w14:textId="0A79546F" w:rsidR="00574AB0" w:rsidRDefault="00392BE7" w:rsidP="00392BE7">
      <w:pPr>
        <w:widowControl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kern w:val="2"/>
          <w:sz w:val="28"/>
          <w:szCs w:val="28"/>
          <w:lang w:val="en-US" w:eastAsia="ja-JP"/>
        </w:rPr>
      </w:pPr>
      <w:r>
        <w:rPr>
          <w:rFonts w:ascii="Times New Roman" w:eastAsia="MS Mincho" w:hAnsi="Times New Roman" w:cs="Times New Roman"/>
          <w:b/>
          <w:kern w:val="2"/>
          <w:sz w:val="28"/>
          <w:szCs w:val="28"/>
          <w:lang w:val="en-US" w:eastAsia="ja-JP"/>
        </w:rPr>
        <w:t xml:space="preserve">Fluorescent probes </w:t>
      </w:r>
      <w:r w:rsidR="00717149" w:rsidRPr="00717149">
        <w:rPr>
          <w:rFonts w:ascii="Times New Roman" w:eastAsia="MS Mincho" w:hAnsi="Times New Roman" w:cs="Times New Roman"/>
          <w:b/>
          <w:kern w:val="2"/>
          <w:sz w:val="28"/>
          <w:szCs w:val="28"/>
          <w:lang w:val="en-US" w:eastAsia="ja-JP"/>
        </w:rPr>
        <w:t xml:space="preserve">for the study of the epithelial cell </w:t>
      </w:r>
      <w:proofErr w:type="spellStart"/>
      <w:r w:rsidR="00717149" w:rsidRPr="00717149">
        <w:rPr>
          <w:rFonts w:ascii="Times New Roman" w:eastAsia="MS Mincho" w:hAnsi="Times New Roman" w:cs="Times New Roman"/>
          <w:b/>
          <w:kern w:val="2"/>
          <w:sz w:val="28"/>
          <w:szCs w:val="28"/>
          <w:lang w:val="en-US" w:eastAsia="ja-JP"/>
        </w:rPr>
        <w:t>cytosqueleton</w:t>
      </w:r>
      <w:proofErr w:type="spellEnd"/>
      <w:r w:rsidR="00717149" w:rsidRPr="00717149">
        <w:rPr>
          <w:rFonts w:ascii="Times New Roman" w:eastAsia="MS Mincho" w:hAnsi="Times New Roman" w:cs="Times New Roman"/>
          <w:b/>
          <w:kern w:val="2"/>
          <w:sz w:val="28"/>
          <w:szCs w:val="28"/>
          <w:lang w:val="en-US" w:eastAsia="ja-JP"/>
        </w:rPr>
        <w:t xml:space="preserve"> and the safety of cosmetic ingredients</w:t>
      </w:r>
    </w:p>
    <w:p w14:paraId="6BA8DF0B" w14:textId="77777777" w:rsidR="00717149" w:rsidRPr="00392BE7" w:rsidRDefault="00717149" w:rsidP="00392BE7">
      <w:pPr>
        <w:widowControl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1"/>
          <w:lang w:val="en-US" w:eastAsia="ja-JP"/>
        </w:rPr>
      </w:pPr>
    </w:p>
    <w:p w14:paraId="6ECC6B68" w14:textId="77777777" w:rsidR="00392BE7" w:rsidRPr="00392BE7" w:rsidRDefault="00392BE7" w:rsidP="00392BE7">
      <w:pPr>
        <w:widowControl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E8737D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Marion Gay</w:t>
      </w:r>
      <w:r w:rsidRPr="00392BE7">
        <w:rPr>
          <w:rFonts w:ascii="Times New Roman" w:eastAsia="MS Mincho" w:hAnsi="Times New Roman" w:cs="Times New Roman"/>
          <w:kern w:val="2"/>
          <w:sz w:val="24"/>
          <w:szCs w:val="24"/>
          <w:vertAlign w:val="superscript"/>
          <w:lang w:eastAsia="ja-JP"/>
        </w:rPr>
        <w:t>1</w:t>
      </w:r>
      <w:r w:rsidRPr="00392BE7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, </w:t>
      </w:r>
      <w:proofErr w:type="spellStart"/>
      <w:r w:rsidR="00574AB0" w:rsidRPr="00574AB0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Abdelkhalek</w:t>
      </w:r>
      <w:proofErr w:type="spellEnd"/>
      <w:r w:rsidR="00574AB0" w:rsidRPr="00574AB0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B</w:t>
      </w:r>
      <w:r w:rsidR="00574AB0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en</w:t>
      </w:r>
      <w:r w:rsidR="00574AB0" w:rsidRPr="00574AB0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J</w:t>
      </w:r>
      <w:r w:rsidR="00574AB0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amaa</w:t>
      </w:r>
      <w:r w:rsidR="00574AB0" w:rsidRPr="00574AB0">
        <w:rPr>
          <w:rFonts w:ascii="Times New Roman" w:eastAsia="MS Mincho" w:hAnsi="Times New Roman" w:cs="Times New Roman"/>
          <w:kern w:val="2"/>
          <w:sz w:val="24"/>
          <w:szCs w:val="24"/>
          <w:vertAlign w:val="superscript"/>
          <w:lang w:eastAsia="ja-JP"/>
        </w:rPr>
        <w:t>1</w:t>
      </w:r>
      <w:r w:rsidR="00574AB0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, Françoise Bree</w:t>
      </w:r>
      <w:r w:rsidR="00574AB0" w:rsidRPr="00392BE7">
        <w:rPr>
          <w:rFonts w:ascii="Times New Roman" w:eastAsia="MS Mincho" w:hAnsi="Times New Roman" w:cs="Times New Roman"/>
          <w:kern w:val="2"/>
          <w:sz w:val="24"/>
          <w:szCs w:val="24"/>
          <w:vertAlign w:val="superscript"/>
          <w:lang w:eastAsia="ja-JP"/>
        </w:rPr>
        <w:t>3</w:t>
      </w:r>
      <w:r w:rsidR="00574AB0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, </w:t>
      </w:r>
      <w:r w:rsidR="00574AB0" w:rsidRPr="00574AB0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C</w:t>
      </w:r>
      <w:r w:rsidR="00574AB0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hristiane</w:t>
      </w:r>
      <w:r w:rsidR="00574AB0" w:rsidRPr="00574AB0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 Guguen-Guillouzo</w:t>
      </w:r>
      <w:r w:rsidR="00574AB0" w:rsidRPr="00392BE7">
        <w:rPr>
          <w:rFonts w:ascii="Times New Roman" w:eastAsia="MS Mincho" w:hAnsi="Times New Roman" w:cs="Times New Roman"/>
          <w:kern w:val="2"/>
          <w:sz w:val="24"/>
          <w:szCs w:val="24"/>
          <w:vertAlign w:val="superscript"/>
          <w:lang w:eastAsia="ja-JP"/>
        </w:rPr>
        <w:t>3</w:t>
      </w:r>
      <w:r w:rsidR="00574AB0" w:rsidRPr="00574AB0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,</w:t>
      </w:r>
      <w:r w:rsidR="00574AB0">
        <w:rPr>
          <w:rFonts w:ascii="Times New Roman" w:eastAsia="MS Mincho" w:hAnsi="Times New Roman" w:cs="Times New Roman"/>
          <w:kern w:val="2"/>
          <w:sz w:val="24"/>
          <w:szCs w:val="24"/>
          <w:vertAlign w:val="superscript"/>
          <w:lang w:eastAsia="ja-JP"/>
        </w:rPr>
        <w:t xml:space="preserve"> </w:t>
      </w:r>
      <w:r w:rsidRPr="00392BE7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Pierre Daligaux</w:t>
      </w:r>
      <w:r w:rsidRPr="00392BE7">
        <w:rPr>
          <w:rFonts w:ascii="Times New Roman" w:eastAsia="MS Mincho" w:hAnsi="Times New Roman" w:cs="Times New Roman"/>
          <w:kern w:val="2"/>
          <w:sz w:val="24"/>
          <w:szCs w:val="24"/>
          <w:vertAlign w:val="superscript"/>
          <w:lang w:eastAsia="ja-JP"/>
        </w:rPr>
        <w:t>3</w:t>
      </w:r>
      <w:r w:rsidR="003378B7">
        <w:rPr>
          <w:rFonts w:ascii="Times New Roman" w:eastAsia="MS Mincho" w:hAnsi="Times New Roman" w:cs="Times New Roman"/>
          <w:kern w:val="2"/>
          <w:sz w:val="24"/>
          <w:szCs w:val="24"/>
          <w:vertAlign w:val="superscript"/>
          <w:lang w:eastAsia="ja-JP"/>
        </w:rPr>
        <w:t>*</w:t>
      </w:r>
      <w:r w:rsidRPr="00392BE7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, Christophe Chesné</w:t>
      </w:r>
      <w:r w:rsidRPr="00392BE7">
        <w:rPr>
          <w:rFonts w:ascii="Times New Roman" w:eastAsia="MS Mincho" w:hAnsi="Times New Roman" w:cs="Times New Roman"/>
          <w:kern w:val="2"/>
          <w:sz w:val="24"/>
          <w:szCs w:val="24"/>
          <w:vertAlign w:val="superscript"/>
          <w:lang w:eastAsia="ja-JP"/>
        </w:rPr>
        <w:t>3</w:t>
      </w:r>
      <w:r w:rsidRPr="00392BE7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, Karen Plé</w:t>
      </w:r>
      <w:r w:rsidRPr="00392BE7">
        <w:rPr>
          <w:rFonts w:ascii="Times New Roman" w:eastAsia="MS Mincho" w:hAnsi="Times New Roman" w:cs="Times New Roman"/>
          <w:kern w:val="2"/>
          <w:sz w:val="24"/>
          <w:szCs w:val="24"/>
          <w:vertAlign w:val="superscript"/>
          <w:lang w:eastAsia="ja-JP"/>
        </w:rPr>
        <w:t>1</w:t>
      </w:r>
      <w:r w:rsidRPr="00392BE7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, Sylvain Routier</w:t>
      </w:r>
      <w:r w:rsidRPr="00392BE7">
        <w:rPr>
          <w:rFonts w:ascii="Times New Roman" w:eastAsia="MS Mincho" w:hAnsi="Times New Roman" w:cs="Times New Roman"/>
          <w:kern w:val="2"/>
          <w:sz w:val="24"/>
          <w:szCs w:val="24"/>
          <w:vertAlign w:val="superscript"/>
          <w:lang w:eastAsia="ja-JP"/>
        </w:rPr>
        <w:t>1*</w:t>
      </w:r>
    </w:p>
    <w:p w14:paraId="33417416" w14:textId="77777777" w:rsidR="00392BE7" w:rsidRPr="00392BE7" w:rsidRDefault="00392BE7" w:rsidP="00392BE7">
      <w:pPr>
        <w:widowControl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</w:pPr>
      <w:r w:rsidRPr="00392BE7">
        <w:rPr>
          <w:rFonts w:ascii="Times New Roman" w:eastAsia="MS Mincho" w:hAnsi="Times New Roman" w:cs="Times New Roman"/>
          <w:i/>
          <w:kern w:val="2"/>
          <w:sz w:val="24"/>
          <w:szCs w:val="24"/>
          <w:vertAlign w:val="superscript"/>
          <w:lang w:eastAsia="ja-JP"/>
        </w:rPr>
        <w:t>1</w:t>
      </w:r>
      <w:r w:rsidRPr="00392BE7"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  <w:t xml:space="preserve"> Institut de Chimie Organique et Analytique, Université d’Orléans, CNRS 7311, Orléans, France</w:t>
      </w:r>
    </w:p>
    <w:p w14:paraId="710F3AD8" w14:textId="77777777" w:rsidR="00392BE7" w:rsidRPr="00392BE7" w:rsidRDefault="00392BE7" w:rsidP="00392BE7">
      <w:pPr>
        <w:widowControl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</w:pPr>
      <w:r w:rsidRPr="00392BE7">
        <w:rPr>
          <w:rFonts w:ascii="Times New Roman" w:eastAsia="MS Mincho" w:hAnsi="Times New Roman" w:cs="Times New Roman"/>
          <w:i/>
          <w:kern w:val="2"/>
          <w:sz w:val="24"/>
          <w:szCs w:val="24"/>
          <w:vertAlign w:val="superscript"/>
          <w:lang w:eastAsia="ja-JP"/>
        </w:rPr>
        <w:t>3</w:t>
      </w:r>
      <w:r w:rsidRPr="00392BE7"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  <w:t xml:space="preserve"> </w:t>
      </w:r>
      <w:proofErr w:type="spellStart"/>
      <w:r w:rsidRPr="00392BE7"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  <w:t>Starlight</w:t>
      </w:r>
      <w:proofErr w:type="spellEnd"/>
      <w:r w:rsidRPr="00392BE7">
        <w:rPr>
          <w:rFonts w:ascii="Times New Roman" w:eastAsia="MS Mincho" w:hAnsi="Times New Roman" w:cs="Times New Roman"/>
          <w:i/>
          <w:kern w:val="2"/>
          <w:sz w:val="24"/>
          <w:szCs w:val="24"/>
          <w:lang w:eastAsia="ja-JP"/>
        </w:rPr>
        <w:t>, 111 Boulevard Duhamel de Monceau, Olivet, France</w:t>
      </w:r>
    </w:p>
    <w:p w14:paraId="70515BEA" w14:textId="77777777" w:rsidR="00392BE7" w:rsidRDefault="00392BE7" w:rsidP="00392BE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2BE7">
        <w:rPr>
          <w:rFonts w:ascii="Times New Roman" w:eastAsia="MS Mincho" w:hAnsi="Times New Roman" w:cs="Times New Roman"/>
          <w:kern w:val="2"/>
          <w:sz w:val="24"/>
          <w:szCs w:val="24"/>
          <w:lang w:val="en-US" w:eastAsia="ja-JP"/>
        </w:rPr>
        <w:t xml:space="preserve">*Corresponding author e-mail: </w:t>
      </w:r>
      <w:hyperlink r:id="rId5" w:history="1">
        <w:r w:rsidR="00574AB0" w:rsidRPr="00A818FE">
          <w:rPr>
            <w:rFonts w:ascii="Times New Roman" w:hAnsi="Times New Roman" w:cs="Times New Roman"/>
            <w:sz w:val="24"/>
            <w:szCs w:val="24"/>
            <w:lang w:val="en-US"/>
          </w:rPr>
          <w:t>p.daligaux@wepredic.com</w:t>
        </w:r>
      </w:hyperlink>
      <w:r w:rsidR="00574AB0" w:rsidRPr="00A818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74AB0">
        <w:rPr>
          <w:rFonts w:ascii="Times New Roman" w:eastAsia="MS Mincho" w:hAnsi="Times New Roman" w:cs="Times New Roman"/>
          <w:kern w:val="2"/>
          <w:sz w:val="24"/>
          <w:szCs w:val="24"/>
          <w:lang w:val="en-US" w:eastAsia="ja-JP"/>
        </w:rPr>
        <w:t>sylvain.routier@univ-orleans.fr</w:t>
      </w:r>
    </w:p>
    <w:p w14:paraId="66718A84" w14:textId="01F8B69A" w:rsidR="00EE2B05" w:rsidRDefault="00EE2B05" w:rsidP="006C129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0" w:name="_Hlk134201141"/>
      <w:r w:rsidRPr="00EE2B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cosmetic industry is facing new challenges </w:t>
      </w:r>
      <w:r w:rsidR="00275C5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 select and use</w:t>
      </w:r>
      <w:r w:rsidRPr="00EE2B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ingredients with confidence</w:t>
      </w:r>
      <w:r w:rsidR="00275C5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EE2B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75C5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 ensure consumer safety this </w:t>
      </w:r>
      <w:r w:rsidRPr="00EE2B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means being able to evaluate </w:t>
      </w:r>
      <w:r w:rsidR="00275C5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both </w:t>
      </w:r>
      <w:r w:rsidRPr="00EE2B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their effectiveness and </w:t>
      </w:r>
      <w:r w:rsidR="00275C5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reliability</w:t>
      </w:r>
      <w:r w:rsidRPr="00EE2B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Our project combines chemistry and cell biology to design </w:t>
      </w:r>
      <w:r w:rsidR="008115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 validate fluorescent</w:t>
      </w:r>
      <w:r w:rsidRPr="00EE2B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probes </w:t>
      </w:r>
      <w:r w:rsidR="0081153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 </w:t>
      </w:r>
      <w:r w:rsidRPr="00EE2B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evaluate the toxicity of cosmetic ingredients, alone or incorporated in a formulation</w:t>
      </w:r>
      <w:r w:rsidR="00275C5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bookmarkEnd w:id="0"/>
    </w:p>
    <w:p w14:paraId="7E407045" w14:textId="3E211341" w:rsidR="00B9569B" w:rsidRPr="00EE2B05" w:rsidRDefault="00B9569B" w:rsidP="006C129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E2B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 w:rsidR="00027C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goal</w:t>
      </w:r>
      <w:r w:rsidRPr="00EE2B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our project</w:t>
      </w:r>
      <w:r w:rsidRPr="00EE2B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to transpose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Pr="00EE2B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validated </w:t>
      </w:r>
      <w:r w:rsidR="00027C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process developed </w:t>
      </w:r>
      <w:r w:rsidRPr="00EE2B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experimental pharmacology</w:t>
      </w:r>
      <w:r w:rsidRPr="00B956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EE2B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 </w:t>
      </w:r>
      <w:r w:rsidR="00027C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specific problems of the cosmetic industry</w:t>
      </w:r>
      <w:r w:rsidRPr="00EE2B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027C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We </w:t>
      </w:r>
      <w:r w:rsidR="006C12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have designed</w:t>
      </w:r>
      <w:r w:rsidR="00027C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probes to target specific </w:t>
      </w:r>
      <w:r w:rsidR="00027C7B" w:rsidRPr="00EE2B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cell signaling pathways whose respective roles are to activate or deactivate cytoskeletal movement affecting cell plasticity. </w:t>
      </w:r>
      <w:r w:rsidR="00027C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This </w:t>
      </w:r>
      <w:r w:rsidR="006C12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was</w:t>
      </w:r>
      <w:r w:rsidR="00027C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done </w:t>
      </w:r>
      <w:proofErr w:type="gramStart"/>
      <w:r w:rsidR="00027C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Pr="00EE2B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 order to</w:t>
      </w:r>
      <w:proofErr w:type="gramEnd"/>
      <w:r w:rsidRPr="00EE2B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visualize their function in the presence of external chemical agents</w:t>
      </w:r>
      <w:r w:rsidR="006C12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including </w:t>
      </w:r>
      <w:r w:rsidRPr="00EE2B0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formulation components.  </w:t>
      </w:r>
    </w:p>
    <w:p w14:paraId="18031C9C" w14:textId="33C23B67" w:rsidR="005806D6" w:rsidRPr="006C1298" w:rsidRDefault="006C1298" w:rsidP="006C12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 have</w:t>
      </w:r>
      <w:r w:rsidR="001A3841" w:rsidRPr="006C12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6C12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used</w:t>
      </w:r>
      <w:r w:rsidR="001A3841" w:rsidRPr="006C12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</w:t>
      </w:r>
      <w:proofErr w:type="spellStart"/>
      <w:r w:rsidR="001A3841" w:rsidRPr="006C12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HepaRG</w:t>
      </w:r>
      <w:r w:rsidR="001A3841" w:rsidRPr="006C129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TM</w:t>
      </w:r>
      <w:proofErr w:type="spellEnd"/>
      <w:r w:rsidR="001A3841" w:rsidRPr="006C12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cell line as a representative model of the shape and contraction of </w:t>
      </w:r>
      <w:r w:rsidRPr="00392FAF">
        <w:rPr>
          <w:rFonts w:ascii="Times New Roman" w:hAnsi="Times New Roman" w:cs="Times New Roman"/>
          <w:sz w:val="24"/>
          <w:szCs w:val="24"/>
          <w:lang w:val="en-US"/>
        </w:rPr>
        <w:t xml:space="preserve">bile canaliculi </w:t>
      </w:r>
      <w:r w:rsidR="001A3841" w:rsidRPr="006C129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hepatocytes. This is an excellent model of epithelial cells, including skin keratinocytes.</w:t>
      </w:r>
      <w:r w:rsidRPr="006C1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13CD" w:rsidRPr="006C1298">
        <w:rPr>
          <w:rFonts w:ascii="Times New Roman" w:hAnsi="Times New Roman" w:cs="Times New Roman"/>
          <w:sz w:val="24"/>
          <w:szCs w:val="24"/>
          <w:lang w:val="en-US"/>
        </w:rPr>
        <w:t xml:space="preserve">The cells were treated with </w:t>
      </w:r>
      <w:r w:rsidR="005806D6" w:rsidRPr="006C1298">
        <w:rPr>
          <w:rFonts w:ascii="Times New Roman" w:hAnsi="Times New Roman" w:cs="Times New Roman"/>
          <w:sz w:val="24"/>
          <w:szCs w:val="24"/>
          <w:lang w:val="en-US"/>
        </w:rPr>
        <w:t>various</w:t>
      </w:r>
      <w:r w:rsidR="001A13CD" w:rsidRPr="006C1298">
        <w:rPr>
          <w:rFonts w:ascii="Times New Roman" w:hAnsi="Times New Roman" w:cs="Times New Roman"/>
          <w:sz w:val="24"/>
          <w:szCs w:val="24"/>
          <w:lang w:val="en-US"/>
        </w:rPr>
        <w:t xml:space="preserve"> molecules known to induce cholestasis</w:t>
      </w:r>
      <w:r w:rsidRPr="006C1298">
        <w:rPr>
          <w:rFonts w:ascii="Times New Roman" w:hAnsi="Times New Roman" w:cs="Times New Roman"/>
          <w:sz w:val="24"/>
          <w:szCs w:val="24"/>
          <w:lang w:val="en-US"/>
        </w:rPr>
        <w:t>, a pathology which modifies the hepatocyte cytoskeleton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18FE" w:rsidRPr="006C1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6D6" w:rsidRPr="006C1298">
        <w:rPr>
          <w:rFonts w:ascii="Times New Roman" w:hAnsi="Times New Roman" w:cs="Times New Roman"/>
          <w:sz w:val="24"/>
          <w:szCs w:val="24"/>
          <w:lang w:val="en-US"/>
        </w:rPr>
        <w:t>such as</w:t>
      </w:r>
      <w:r w:rsidR="001A13CD" w:rsidRPr="006C1298">
        <w:rPr>
          <w:rFonts w:ascii="Times New Roman" w:hAnsi="Times New Roman" w:cs="Times New Roman"/>
          <w:sz w:val="24"/>
          <w:szCs w:val="24"/>
          <w:lang w:val="en-US"/>
        </w:rPr>
        <w:t xml:space="preserve"> Chlorpromazine (CPZ), </w:t>
      </w:r>
      <w:proofErr w:type="spellStart"/>
      <w:r w:rsidR="001A13CD" w:rsidRPr="006C1298">
        <w:rPr>
          <w:rFonts w:ascii="Times New Roman" w:hAnsi="Times New Roman" w:cs="Times New Roman"/>
          <w:sz w:val="24"/>
          <w:szCs w:val="24"/>
          <w:lang w:val="en-US"/>
        </w:rPr>
        <w:t>Fasudil</w:t>
      </w:r>
      <w:proofErr w:type="spellEnd"/>
      <w:r w:rsidR="001A13CD" w:rsidRPr="006C1298">
        <w:rPr>
          <w:rFonts w:ascii="Times New Roman" w:hAnsi="Times New Roman" w:cs="Times New Roman"/>
          <w:sz w:val="24"/>
          <w:szCs w:val="24"/>
          <w:lang w:val="en-US"/>
        </w:rPr>
        <w:t xml:space="preserve"> (F</w:t>
      </w:r>
      <w:r w:rsidRPr="006C129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1A13CD" w:rsidRPr="006C1298">
        <w:rPr>
          <w:rFonts w:ascii="Times New Roman" w:hAnsi="Times New Roman" w:cs="Times New Roman"/>
          <w:sz w:val="24"/>
          <w:szCs w:val="24"/>
          <w:lang w:val="en-US"/>
        </w:rPr>
        <w:t xml:space="preserve">) and </w:t>
      </w:r>
      <w:r w:rsidRPr="006C1298">
        <w:rPr>
          <w:rFonts w:ascii="Times New Roman" w:hAnsi="Times New Roman" w:cs="Times New Roman"/>
          <w:sz w:val="24"/>
          <w:szCs w:val="24"/>
          <w:lang w:val="en-US"/>
        </w:rPr>
        <w:t>Cyclosporine A (CSA)</w:t>
      </w:r>
      <w:r w:rsidR="001A13CD" w:rsidRPr="006C12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A6D56B3" w14:textId="77777777" w:rsidR="005806D6" w:rsidRPr="00392FAF" w:rsidRDefault="00392FAF" w:rsidP="00597A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2F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1EA254" wp14:editId="6F465358">
            <wp:extent cx="5760720" cy="1175385"/>
            <wp:effectExtent l="0" t="0" r="0" b="5715"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E6B845A4-ACD9-7938-5061-DC64ABD72D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E6B845A4-ACD9-7938-5061-DC64ABD72D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22"/>
                    <a:stretch/>
                  </pic:blipFill>
                  <pic:spPr>
                    <a:xfrm>
                      <a:off x="0" y="0"/>
                      <a:ext cx="576072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3FC8C" w14:textId="77777777" w:rsidR="00392FAF" w:rsidRPr="006C1298" w:rsidRDefault="00392FAF" w:rsidP="00392FA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C1298">
        <w:rPr>
          <w:rFonts w:ascii="Times New Roman" w:hAnsi="Times New Roman" w:cs="Times New Roman"/>
          <w:sz w:val="20"/>
          <w:szCs w:val="20"/>
          <w:lang w:val="en-US"/>
        </w:rPr>
        <w:t xml:space="preserve">2D-differentiated HepaRG cells (HPR116 from Biopredic) were incubated with 5µM </w:t>
      </w:r>
      <w:proofErr w:type="spellStart"/>
      <w:r w:rsidRPr="006C1298">
        <w:rPr>
          <w:rFonts w:ascii="Times New Roman" w:hAnsi="Times New Roman" w:cs="Times New Roman"/>
          <w:sz w:val="20"/>
          <w:szCs w:val="20"/>
          <w:lang w:val="en-US"/>
        </w:rPr>
        <w:t>FluobileTM</w:t>
      </w:r>
      <w:proofErr w:type="spellEnd"/>
      <w:r w:rsidRPr="006C1298">
        <w:rPr>
          <w:rFonts w:ascii="Times New Roman" w:hAnsi="Times New Roman" w:cs="Times New Roman"/>
          <w:sz w:val="20"/>
          <w:szCs w:val="20"/>
          <w:lang w:val="en-US"/>
        </w:rPr>
        <w:t xml:space="preserve"> probe at 37°C for 30 min. After washing, cells were incubated with reference cholestatic compounds (CPZ: Chlorpromazine, FAS: </w:t>
      </w:r>
      <w:proofErr w:type="spellStart"/>
      <w:r w:rsidRPr="006C1298">
        <w:rPr>
          <w:rFonts w:ascii="Times New Roman" w:hAnsi="Times New Roman" w:cs="Times New Roman"/>
          <w:sz w:val="20"/>
          <w:szCs w:val="20"/>
          <w:lang w:val="en-US"/>
        </w:rPr>
        <w:t>Fasudil</w:t>
      </w:r>
      <w:proofErr w:type="spellEnd"/>
      <w:r w:rsidRPr="006C1298">
        <w:rPr>
          <w:rFonts w:ascii="Times New Roman" w:hAnsi="Times New Roman" w:cs="Times New Roman"/>
          <w:sz w:val="20"/>
          <w:szCs w:val="20"/>
          <w:lang w:val="en-US"/>
        </w:rPr>
        <w:t>, CSA: Cyclosporine A, TRO: Troglitazone).</w:t>
      </w:r>
    </w:p>
    <w:p w14:paraId="1FF78505" w14:textId="3F4ADFBC" w:rsidR="006C1298" w:rsidRPr="006C1298" w:rsidRDefault="00392FAF" w:rsidP="006C1298">
      <w:pPr>
        <w:ind w:firstLine="3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FAF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proofErr w:type="spellStart"/>
      <w:r w:rsidRPr="00392FAF">
        <w:rPr>
          <w:rFonts w:ascii="Times New Roman" w:hAnsi="Times New Roman" w:cs="Times New Roman"/>
          <w:sz w:val="24"/>
          <w:szCs w:val="24"/>
          <w:lang w:val="en-US"/>
        </w:rPr>
        <w:t>Fluobile</w:t>
      </w:r>
      <w:r w:rsidRPr="00392F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="001A13CD" w:rsidRPr="00392FAF">
        <w:rPr>
          <w:rFonts w:ascii="Times New Roman" w:hAnsi="Times New Roman" w:cs="Times New Roman"/>
          <w:sz w:val="24"/>
          <w:szCs w:val="24"/>
          <w:lang w:val="en-US"/>
        </w:rPr>
        <w:t xml:space="preserve"> probe</w:t>
      </w:r>
      <w:r w:rsidRPr="00392F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A13CD" w:rsidRPr="00392FAF">
        <w:rPr>
          <w:rFonts w:ascii="Times New Roman" w:hAnsi="Times New Roman" w:cs="Times New Roman"/>
          <w:sz w:val="24"/>
          <w:szCs w:val="24"/>
          <w:lang w:val="en-US"/>
        </w:rPr>
        <w:t xml:space="preserve"> accumulate in </w:t>
      </w:r>
      <w:r w:rsidRPr="00392FAF">
        <w:rPr>
          <w:rFonts w:ascii="Times New Roman" w:hAnsi="Times New Roman" w:cs="Times New Roman"/>
          <w:sz w:val="24"/>
          <w:szCs w:val="24"/>
          <w:lang w:val="en-US"/>
        </w:rPr>
        <w:t>bile</w:t>
      </w:r>
      <w:r w:rsidR="001A13CD" w:rsidRPr="00392FAF">
        <w:rPr>
          <w:rFonts w:ascii="Times New Roman" w:hAnsi="Times New Roman" w:cs="Times New Roman"/>
          <w:sz w:val="24"/>
          <w:szCs w:val="24"/>
          <w:lang w:val="en-US"/>
        </w:rPr>
        <w:t xml:space="preserve"> canalicul</w:t>
      </w:r>
      <w:r w:rsidRPr="00392F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13CD" w:rsidRPr="00392FAF">
        <w:rPr>
          <w:rFonts w:ascii="Times New Roman" w:hAnsi="Times New Roman" w:cs="Times New Roman"/>
          <w:sz w:val="24"/>
          <w:szCs w:val="24"/>
          <w:lang w:val="en-US"/>
        </w:rPr>
        <w:t xml:space="preserve"> and thus allow the visualization of bile acid transport.</w:t>
      </w:r>
      <w:r w:rsidRPr="00392FAF">
        <w:rPr>
          <w:rFonts w:ascii="Times New Roman" w:hAnsi="Times New Roman" w:cs="Times New Roman"/>
          <w:sz w:val="24"/>
          <w:szCs w:val="24"/>
          <w:lang w:val="en-US"/>
        </w:rPr>
        <w:t xml:space="preserve"> The rapid detection of cellular </w:t>
      </w:r>
      <w:r w:rsidR="00301E0E" w:rsidRPr="00392FAF">
        <w:rPr>
          <w:rFonts w:ascii="Times New Roman" w:hAnsi="Times New Roman" w:cs="Times New Roman"/>
          <w:sz w:val="24"/>
          <w:szCs w:val="24"/>
          <w:lang w:val="en-US"/>
        </w:rPr>
        <w:t xml:space="preserve">bile </w:t>
      </w:r>
      <w:r w:rsidR="008416E4" w:rsidRPr="00392FAF">
        <w:rPr>
          <w:rFonts w:ascii="Times New Roman" w:hAnsi="Times New Roman" w:cs="Times New Roman"/>
          <w:sz w:val="24"/>
          <w:szCs w:val="24"/>
          <w:lang w:val="en-US"/>
        </w:rPr>
        <w:t>accumulation and</w:t>
      </w:r>
      <w:r w:rsidRPr="00392FAF">
        <w:rPr>
          <w:rFonts w:ascii="Times New Roman" w:hAnsi="Times New Roman" w:cs="Times New Roman"/>
          <w:sz w:val="24"/>
          <w:szCs w:val="24"/>
          <w:lang w:val="en-US"/>
        </w:rPr>
        <w:t xml:space="preserve"> the easy evaluation of the constriction/dilation state of </w:t>
      </w:r>
      <w:r w:rsidR="00301E0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92FAF">
        <w:rPr>
          <w:rFonts w:ascii="Times New Roman" w:hAnsi="Times New Roman" w:cs="Times New Roman"/>
          <w:sz w:val="24"/>
          <w:szCs w:val="24"/>
          <w:lang w:val="en-US"/>
        </w:rPr>
        <w:t>bile canaliculi</w:t>
      </w:r>
      <w:r w:rsidR="00A81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FAF">
        <w:rPr>
          <w:rFonts w:ascii="Times New Roman" w:hAnsi="Times New Roman" w:cs="Times New Roman"/>
          <w:sz w:val="24"/>
          <w:szCs w:val="24"/>
          <w:lang w:val="en-US"/>
        </w:rPr>
        <w:t xml:space="preserve">allow </w:t>
      </w:r>
      <w:r w:rsidR="006C1298">
        <w:rPr>
          <w:rFonts w:ascii="Times New Roman" w:hAnsi="Times New Roman" w:cs="Times New Roman"/>
          <w:sz w:val="24"/>
          <w:szCs w:val="24"/>
          <w:lang w:val="en-US"/>
        </w:rPr>
        <w:t>them</w:t>
      </w:r>
      <w:r w:rsidRPr="00392FAF">
        <w:rPr>
          <w:rFonts w:ascii="Times New Roman" w:hAnsi="Times New Roman" w:cs="Times New Roman"/>
          <w:sz w:val="24"/>
          <w:szCs w:val="24"/>
          <w:lang w:val="en-US"/>
        </w:rPr>
        <w:t xml:space="preserve"> to be used to predict the potential </w:t>
      </w:r>
      <w:r w:rsidR="00A818FE">
        <w:rPr>
          <w:rFonts w:ascii="Times New Roman" w:hAnsi="Times New Roman" w:cs="Times New Roman"/>
          <w:sz w:val="24"/>
          <w:szCs w:val="24"/>
          <w:lang w:val="en-US"/>
        </w:rPr>
        <w:t xml:space="preserve">toxicity </w:t>
      </w:r>
      <w:r w:rsidRPr="00392FAF">
        <w:rPr>
          <w:rFonts w:ascii="Times New Roman" w:hAnsi="Times New Roman" w:cs="Times New Roman"/>
          <w:sz w:val="24"/>
          <w:szCs w:val="24"/>
          <w:lang w:val="en-US"/>
        </w:rPr>
        <w:t>of chemical compounds</w:t>
      </w:r>
      <w:r w:rsidR="00301E0E">
        <w:rPr>
          <w:rFonts w:ascii="Times New Roman" w:hAnsi="Times New Roman" w:cs="Times New Roman"/>
          <w:sz w:val="24"/>
          <w:szCs w:val="24"/>
          <w:lang w:val="en-US"/>
        </w:rPr>
        <w:t xml:space="preserve"> including cosmetic ingredients.</w:t>
      </w:r>
    </w:p>
    <w:p w14:paraId="07C11A74" w14:textId="77777777" w:rsidR="00392BE7" w:rsidRDefault="00A13F3F" w:rsidP="00A13F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1298">
        <w:rPr>
          <w:rFonts w:ascii="Times New Roman" w:hAnsi="Times New Roman" w:cs="Times New Roman"/>
          <w:sz w:val="20"/>
          <w:szCs w:val="20"/>
          <w:lang w:val="en-US"/>
        </w:rPr>
        <w:t xml:space="preserve">The authors would like to thank the </w:t>
      </w:r>
      <w:proofErr w:type="spellStart"/>
      <w:r w:rsidRPr="006C1298">
        <w:rPr>
          <w:rFonts w:ascii="Times New Roman" w:hAnsi="Times New Roman" w:cs="Times New Roman"/>
          <w:sz w:val="20"/>
          <w:szCs w:val="20"/>
          <w:lang w:val="en-US"/>
        </w:rPr>
        <w:t>Région</w:t>
      </w:r>
      <w:proofErr w:type="spellEnd"/>
      <w:r w:rsidRPr="006C1298">
        <w:rPr>
          <w:rFonts w:ascii="Times New Roman" w:hAnsi="Times New Roman" w:cs="Times New Roman"/>
          <w:sz w:val="20"/>
          <w:szCs w:val="20"/>
          <w:lang w:val="en-US"/>
        </w:rPr>
        <w:t xml:space="preserve"> Centre Val de Loire and Cosmetosciences Program for their financial support and Cosmetic Valley for their certification of this research pro</w:t>
      </w:r>
      <w:r w:rsidR="00597A2A" w:rsidRPr="006C1298">
        <w:rPr>
          <w:rFonts w:ascii="Times New Roman" w:hAnsi="Times New Roman" w:cs="Times New Roman"/>
          <w:sz w:val="20"/>
          <w:szCs w:val="20"/>
          <w:lang w:val="en-US"/>
        </w:rPr>
        <w:t>ject</w:t>
      </w:r>
      <w:r w:rsidRPr="006C129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6207C61" w14:textId="77777777" w:rsidR="005806D6" w:rsidRPr="006C1298" w:rsidRDefault="005806D6" w:rsidP="00392FAF">
      <w:pPr>
        <w:pStyle w:val="Bibliographie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C1298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6C1298">
        <w:rPr>
          <w:rFonts w:ascii="Times New Roman" w:hAnsi="Times New Roman" w:cs="Times New Roman"/>
          <w:sz w:val="20"/>
          <w:szCs w:val="20"/>
          <w:lang w:val="en-US"/>
        </w:rPr>
        <w:instrText xml:space="preserve"> ADDIN ZOTERO_BIBL {"uncited":[],"omitted":[],"custom":[]} CSL_BIBLIOGRAPHY </w:instrText>
      </w:r>
      <w:r w:rsidRPr="006C1298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6C1298">
        <w:rPr>
          <w:rFonts w:ascii="Times New Roman" w:hAnsi="Times New Roman" w:cs="Times New Roman"/>
          <w:sz w:val="20"/>
          <w:szCs w:val="20"/>
          <w:lang w:val="en-US"/>
        </w:rPr>
        <w:t>(1)</w:t>
      </w:r>
      <w:r w:rsidRPr="006C1298">
        <w:rPr>
          <w:rFonts w:ascii="Times New Roman" w:hAnsi="Times New Roman" w:cs="Times New Roman"/>
          <w:sz w:val="20"/>
          <w:szCs w:val="20"/>
          <w:lang w:val="en-US"/>
        </w:rPr>
        <w:tab/>
        <w:t xml:space="preserve">Vinken, M.; Pauwels, M.; Ates, G.; Vivier, M.; Vanhaecke, T.; Rogiers, V. Screening of Repeated Dose Toxicity Data Present in SCC(NF)P/SCCS Safety Evaluations of Cosmetic Ingredients. </w:t>
      </w:r>
      <w:r w:rsidRPr="006C1298">
        <w:rPr>
          <w:rFonts w:ascii="Times New Roman" w:hAnsi="Times New Roman" w:cs="Times New Roman"/>
          <w:i/>
          <w:iCs/>
          <w:sz w:val="20"/>
          <w:szCs w:val="20"/>
          <w:lang w:val="en-US"/>
        </w:rPr>
        <w:t>Arch. Toxicol.</w:t>
      </w:r>
      <w:r w:rsidRPr="006C12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C1298">
        <w:rPr>
          <w:rFonts w:ascii="Times New Roman" w:hAnsi="Times New Roman" w:cs="Times New Roman"/>
          <w:b/>
          <w:bCs/>
          <w:sz w:val="20"/>
          <w:szCs w:val="20"/>
          <w:lang w:val="en-US"/>
        </w:rPr>
        <w:t>2012</w:t>
      </w:r>
      <w:r w:rsidRPr="006C129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C1298">
        <w:rPr>
          <w:rFonts w:ascii="Times New Roman" w:hAnsi="Times New Roman" w:cs="Times New Roman"/>
          <w:i/>
          <w:iCs/>
          <w:sz w:val="20"/>
          <w:szCs w:val="20"/>
          <w:lang w:val="en-US"/>
        </w:rPr>
        <w:t>86</w:t>
      </w:r>
      <w:r w:rsidRPr="006C1298">
        <w:rPr>
          <w:rFonts w:ascii="Times New Roman" w:hAnsi="Times New Roman" w:cs="Times New Roman"/>
          <w:sz w:val="20"/>
          <w:szCs w:val="20"/>
          <w:lang w:val="en-US"/>
        </w:rPr>
        <w:t xml:space="preserve"> (3), 405–412. https://doi.org/10.1007/s00204-011-0769-z.</w:t>
      </w:r>
    </w:p>
    <w:p w14:paraId="77505D77" w14:textId="77777777" w:rsidR="001A13CD" w:rsidRPr="00392FAF" w:rsidRDefault="005806D6" w:rsidP="00392F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1298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sectPr w:rsidR="001A13CD" w:rsidRPr="00392FAF" w:rsidSect="00392BE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6B"/>
    <w:rsid w:val="00027C7B"/>
    <w:rsid w:val="001A13CD"/>
    <w:rsid w:val="001A3841"/>
    <w:rsid w:val="00275C56"/>
    <w:rsid w:val="00301E0E"/>
    <w:rsid w:val="003378B7"/>
    <w:rsid w:val="00392BE7"/>
    <w:rsid w:val="00392FAF"/>
    <w:rsid w:val="00462922"/>
    <w:rsid w:val="005221C1"/>
    <w:rsid w:val="0056755D"/>
    <w:rsid w:val="005711D1"/>
    <w:rsid w:val="00574AB0"/>
    <w:rsid w:val="005806D6"/>
    <w:rsid w:val="00597A2A"/>
    <w:rsid w:val="0068451C"/>
    <w:rsid w:val="006C1298"/>
    <w:rsid w:val="00717149"/>
    <w:rsid w:val="00740BC9"/>
    <w:rsid w:val="0081153C"/>
    <w:rsid w:val="008416E4"/>
    <w:rsid w:val="00962180"/>
    <w:rsid w:val="00A13F3F"/>
    <w:rsid w:val="00A818FE"/>
    <w:rsid w:val="00AE2DCB"/>
    <w:rsid w:val="00B9569B"/>
    <w:rsid w:val="00BB60FF"/>
    <w:rsid w:val="00E8737D"/>
    <w:rsid w:val="00EB7AA0"/>
    <w:rsid w:val="00ED754A"/>
    <w:rsid w:val="00EE2B05"/>
    <w:rsid w:val="00F360EB"/>
    <w:rsid w:val="00FA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511C"/>
  <w15:chartTrackingRefBased/>
  <w15:docId w15:val="{68BC8AB7-7389-4149-8A2C-7026A663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Bibliographie">
    <w:name w:val="Bibliography"/>
    <w:basedOn w:val="Normal"/>
    <w:next w:val="Normal"/>
    <w:uiPriority w:val="37"/>
    <w:unhideWhenUsed/>
    <w:rsid w:val="005806D6"/>
    <w:pPr>
      <w:tabs>
        <w:tab w:val="left" w:pos="384"/>
      </w:tabs>
      <w:spacing w:after="0" w:line="240" w:lineRule="auto"/>
      <w:ind w:left="384" w:hanging="384"/>
    </w:pPr>
  </w:style>
  <w:style w:type="character" w:styleId="Marquedecommentaire">
    <w:name w:val="annotation reference"/>
    <w:basedOn w:val="Policepardfaut"/>
    <w:uiPriority w:val="99"/>
    <w:semiHidden/>
    <w:unhideWhenUsed/>
    <w:rsid w:val="00301E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1E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1E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1E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1E0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E0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74AB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4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7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p.daligaux@wepred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4781-DD7F-4C45-9C08-FF0B17A5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Daligaux</dc:creator>
  <cp:keywords/>
  <dc:description/>
  <cp:lastModifiedBy>Fanny VEAU</cp:lastModifiedBy>
  <cp:revision>2</cp:revision>
  <dcterms:created xsi:type="dcterms:W3CDTF">2023-05-09T07:44:00Z</dcterms:created>
  <dcterms:modified xsi:type="dcterms:W3CDTF">2023-05-09T07:44:00Z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id="UtWfF1O3"/&gt;&lt;style id="http://www.zotero.org/styles/american-chemical-society" hasBibliography="1" bibliographyStyleHasBeenSet="1"/&gt;&lt;prefs&gt;&lt;pref name="fieldType" value="Field"/&gt;&lt;pref name="autom</vt:lpwstr>
  </property>
  <property fmtid="{D5CDD505-2E9C-101B-9397-08002B2CF9AE}" pid="3" name="ZOTERO_PREF_2">
    <vt:lpwstr>aticJournalAbbreviations" value="true"/&gt;&lt;/prefs&gt;&lt;/data&gt;</vt:lpwstr>
  </property>
</Properties>
</file>